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Adapting to the humanitarian context</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color w:val="000000"/>
          <w:vertAlign w:val="baseline"/>
          <w:rtl w:val="0"/>
        </w:rPr>
        <w:t xml:space="preserve">Use the chart below to understand how different humanitarian circumstances may affect how you plan and run your activities with adolescents. </w:t>
      </w:r>
      <w:r w:rsidDel="00000000" w:rsidR="00000000" w:rsidRPr="00000000">
        <w:rPr>
          <w:rFonts w:ascii="Calibri" w:cs="Calibri" w:eastAsia="Calibri" w:hAnsi="Calibri"/>
          <w:b w:val="1"/>
          <w:i w:val="1"/>
          <w:color w:val="ff0000"/>
          <w:sz w:val="20"/>
          <w:szCs w:val="20"/>
          <w:vertAlign w:val="baseline"/>
          <w:rtl w:val="0"/>
        </w:rPr>
        <w:t xml:space="preserve">Insert icon for: Improvise and adapt </w:t>
      </w:r>
      <w:r w:rsidDel="00000000" w:rsidR="00000000" w:rsidRPr="00000000">
        <w:rPr>
          <w:rtl w:val="0"/>
        </w:rPr>
      </w:r>
    </w:p>
    <w:tbl>
      <w:tblPr>
        <w:tblStyle w:val="Table1"/>
        <w:tblW w:w="138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5"/>
        <w:gridCol w:w="3960"/>
        <w:gridCol w:w="4320"/>
        <w:gridCol w:w="4233"/>
        <w:tblGridChange w:id="0">
          <w:tblGrid>
            <w:gridCol w:w="1345"/>
            <w:gridCol w:w="3960"/>
            <w:gridCol w:w="4320"/>
            <w:gridCol w:w="4233"/>
          </w:tblGrid>
        </w:tblGridChange>
      </w:tblGrid>
      <w:tr>
        <w:trPr>
          <w:cantSplit w:val="1"/>
          <w:trHeight w:val="332" w:hRule="atLeast"/>
          <w:tblHeader w:val="0"/>
        </w:trPr>
        <w:tc>
          <w:tcPr>
            <w:shd w:fill="d9d9d9" w:val="clear"/>
            <w:vAlign w:val="top"/>
          </w:tcPr>
          <w:p w:rsidR="00000000" w:rsidDel="00000000" w:rsidP="00000000" w:rsidRDefault="00000000" w:rsidRPr="00000000" w14:paraId="00000003">
            <w:pPr>
              <w:spacing w:after="240" w:line="276" w:lineRule="auto"/>
              <w:ind w:left="113" w:right="113" w:firstLine="0"/>
              <w:rPr>
                <w:rFonts w:ascii="Calibri" w:cs="Calibri" w:eastAsia="Calibri" w:hAnsi="Calibri"/>
                <w:b w:val="0"/>
                <w:color w:val="00000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04">
            <w:pPr>
              <w:spacing w:after="240" w:line="276"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New emergencies</w:t>
            </w:r>
            <w:r w:rsidDel="00000000" w:rsidR="00000000" w:rsidRPr="00000000">
              <w:rPr>
                <w:rtl w:val="0"/>
              </w:rPr>
            </w:r>
          </w:p>
        </w:tc>
        <w:tc>
          <w:tcPr>
            <w:shd w:fill="d9d9d9" w:val="clear"/>
            <w:vAlign w:val="top"/>
          </w:tcPr>
          <w:p w:rsidR="00000000" w:rsidDel="00000000" w:rsidP="00000000" w:rsidRDefault="00000000" w:rsidRPr="00000000" w14:paraId="00000005">
            <w:pPr>
              <w:spacing w:after="240" w:line="276"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Settling down, but not certain</w:t>
            </w:r>
            <w:r w:rsidDel="00000000" w:rsidR="00000000" w:rsidRPr="00000000">
              <w:rPr>
                <w:rtl w:val="0"/>
              </w:rPr>
            </w:r>
          </w:p>
        </w:tc>
        <w:tc>
          <w:tcPr>
            <w:shd w:fill="d9d9d9" w:val="clear"/>
            <w:vAlign w:val="top"/>
          </w:tcPr>
          <w:p w:rsidR="00000000" w:rsidDel="00000000" w:rsidP="00000000" w:rsidRDefault="00000000" w:rsidRPr="00000000" w14:paraId="00000006">
            <w:pPr>
              <w:spacing w:after="240" w:line="276"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Long term planning</w:t>
            </w:r>
            <w:r w:rsidDel="00000000" w:rsidR="00000000" w:rsidRPr="00000000">
              <w:rPr>
                <w:rtl w:val="0"/>
              </w:rPr>
            </w:r>
          </w:p>
        </w:tc>
      </w:tr>
      <w:tr>
        <w:trPr>
          <w:cantSplit w:val="1"/>
          <w:trHeight w:val="1575" w:hRule="atLeast"/>
          <w:tblHeader w:val="0"/>
        </w:trPr>
        <w:tc>
          <w:tcPr>
            <w:vAlign w:val="top"/>
          </w:tcPr>
          <w:p w:rsidR="00000000" w:rsidDel="00000000" w:rsidP="00000000" w:rsidRDefault="00000000" w:rsidRPr="00000000" w14:paraId="00000007">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Circumstances</w:t>
            </w:r>
            <w:r w:rsidDel="00000000" w:rsidR="00000000" w:rsidRPr="00000000">
              <w:rPr>
                <w:rtl w:val="0"/>
              </w:rPr>
            </w:r>
          </w:p>
          <w:p w:rsidR="00000000" w:rsidDel="00000000" w:rsidP="00000000" w:rsidRDefault="00000000" w:rsidRPr="00000000" w14:paraId="00000008">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09">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First six weeks of a new onset emergency, or a community facing any kind of significant disruption</w:t>
            </w:r>
          </w:p>
          <w:p w:rsidR="00000000" w:rsidDel="00000000" w:rsidP="00000000" w:rsidRDefault="00000000" w:rsidRPr="00000000" w14:paraId="0000000A">
            <w:pPr>
              <w:spacing w:after="240" w:line="276" w:lineRule="auto"/>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0B">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Protracted emergency; Refugee or Internally Displaced Persons (ID) camp setting, long-term displacement</w:t>
            </w:r>
          </w:p>
        </w:tc>
        <w:tc>
          <w:tcPr>
            <w:vAlign w:val="top"/>
          </w:tcPr>
          <w:p w:rsidR="00000000" w:rsidDel="00000000" w:rsidP="00000000" w:rsidRDefault="00000000" w:rsidRPr="00000000" w14:paraId="0000000C">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Development context</w:t>
            </w:r>
          </w:p>
        </w:tc>
      </w:tr>
      <w:tr>
        <w:trPr>
          <w:cantSplit w:val="1"/>
          <w:trHeight w:val="1575" w:hRule="atLeast"/>
          <w:tblHeader w:val="0"/>
        </w:trPr>
        <w:tc>
          <w:tcPr>
            <w:vAlign w:val="top"/>
          </w:tcPr>
          <w:p w:rsidR="00000000" w:rsidDel="00000000" w:rsidP="00000000" w:rsidRDefault="00000000" w:rsidRPr="00000000" w14:paraId="0000000D">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Phase</w:t>
            </w:r>
            <w:r w:rsidDel="00000000" w:rsidR="00000000" w:rsidRPr="00000000">
              <w:rPr>
                <w:rtl w:val="0"/>
              </w:rPr>
            </w:r>
          </w:p>
        </w:tc>
        <w:tc>
          <w:tcPr>
            <w:vAlign w:val="top"/>
          </w:tcPr>
          <w:p w:rsidR="00000000" w:rsidDel="00000000" w:rsidP="00000000" w:rsidRDefault="00000000" w:rsidRPr="00000000" w14:paraId="0000000E">
            <w:pPr>
              <w:numPr>
                <w:ilvl w:val="0"/>
                <w:numId w:val="3"/>
              </w:numPr>
              <w:spacing w:line="276" w:lineRule="auto"/>
              <w:ind w:left="357" w:hanging="357"/>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Starting Our Circle</w:t>
            </w:r>
          </w:p>
          <w:p w:rsidR="00000000" w:rsidDel="00000000" w:rsidP="00000000" w:rsidRDefault="00000000" w:rsidRPr="00000000" w14:paraId="0000000F">
            <w:pPr>
              <w:numPr>
                <w:ilvl w:val="0"/>
                <w:numId w:val="3"/>
              </w:numPr>
              <w:spacing w:line="276" w:lineRule="auto"/>
              <w:ind w:left="357" w:hanging="357"/>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Knowing Ourselves</w:t>
            </w:r>
          </w:p>
          <w:p w:rsidR="00000000" w:rsidDel="00000000" w:rsidP="00000000" w:rsidRDefault="00000000" w:rsidRPr="00000000" w14:paraId="00000010">
            <w:pPr>
              <w:spacing w:after="240" w:line="276" w:lineRule="auto"/>
              <w:ind w:left="360" w:firstLine="0"/>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11">
            <w:pPr>
              <w:numPr>
                <w:ilvl w:val="0"/>
                <w:numId w:val="1"/>
              </w:numPr>
              <w:spacing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Starting Our Circle</w:t>
            </w:r>
          </w:p>
          <w:p w:rsidR="00000000" w:rsidDel="00000000" w:rsidP="00000000" w:rsidRDefault="00000000" w:rsidRPr="00000000" w14:paraId="00000012">
            <w:pPr>
              <w:numPr>
                <w:ilvl w:val="0"/>
                <w:numId w:val="1"/>
              </w:numPr>
              <w:spacing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Knowing Ourselves</w:t>
            </w:r>
          </w:p>
          <w:p w:rsidR="00000000" w:rsidDel="00000000" w:rsidP="00000000" w:rsidRDefault="00000000" w:rsidRPr="00000000" w14:paraId="00000013">
            <w:pPr>
              <w:numPr>
                <w:ilvl w:val="0"/>
                <w:numId w:val="1"/>
              </w:numPr>
              <w:spacing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Connecting </w:t>
            </w:r>
          </w:p>
          <w:p w:rsidR="00000000" w:rsidDel="00000000" w:rsidP="00000000" w:rsidRDefault="00000000" w:rsidRPr="00000000" w14:paraId="00000014">
            <w:pPr>
              <w:numPr>
                <w:ilvl w:val="0"/>
                <w:numId w:val="1"/>
              </w:numPr>
              <w:spacing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Taking Action</w:t>
            </w:r>
          </w:p>
        </w:tc>
        <w:tc>
          <w:tcPr>
            <w:vAlign w:val="top"/>
          </w:tcPr>
          <w:p w:rsidR="00000000" w:rsidDel="00000000" w:rsidP="00000000" w:rsidRDefault="00000000" w:rsidRPr="00000000" w14:paraId="00000015">
            <w:pPr>
              <w:numPr>
                <w:ilvl w:val="0"/>
                <w:numId w:val="2"/>
              </w:numPr>
              <w:spacing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Starting Our Circle</w:t>
            </w:r>
          </w:p>
          <w:p w:rsidR="00000000" w:rsidDel="00000000" w:rsidP="00000000" w:rsidRDefault="00000000" w:rsidRPr="00000000" w14:paraId="00000016">
            <w:pPr>
              <w:numPr>
                <w:ilvl w:val="0"/>
                <w:numId w:val="2"/>
              </w:numPr>
              <w:spacing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Knowing Ourselves</w:t>
            </w:r>
          </w:p>
          <w:p w:rsidR="00000000" w:rsidDel="00000000" w:rsidP="00000000" w:rsidRDefault="00000000" w:rsidRPr="00000000" w14:paraId="00000017">
            <w:pPr>
              <w:numPr>
                <w:ilvl w:val="0"/>
                <w:numId w:val="2"/>
              </w:numPr>
              <w:spacing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Connecting </w:t>
            </w:r>
          </w:p>
          <w:p w:rsidR="00000000" w:rsidDel="00000000" w:rsidP="00000000" w:rsidRDefault="00000000" w:rsidRPr="00000000" w14:paraId="00000018">
            <w:pPr>
              <w:numPr>
                <w:ilvl w:val="0"/>
                <w:numId w:val="2"/>
              </w:numPr>
              <w:spacing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Taking Action</w:t>
            </w:r>
          </w:p>
        </w:tc>
      </w:tr>
      <w:tr>
        <w:trPr>
          <w:cantSplit w:val="1"/>
          <w:trHeight w:val="1134" w:hRule="atLeast"/>
          <w:tblHeader w:val="0"/>
        </w:trPr>
        <w:tc>
          <w:tcPr>
            <w:vAlign w:val="top"/>
          </w:tcPr>
          <w:p w:rsidR="00000000" w:rsidDel="00000000" w:rsidP="00000000" w:rsidRDefault="00000000" w:rsidRPr="00000000" w14:paraId="00000019">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Adolescent participation</w:t>
            </w:r>
            <w:r w:rsidDel="00000000" w:rsidR="00000000" w:rsidRPr="00000000">
              <w:rPr>
                <w:rtl w:val="0"/>
              </w:rPr>
            </w:r>
          </w:p>
          <w:p w:rsidR="00000000" w:rsidDel="00000000" w:rsidP="00000000" w:rsidRDefault="00000000" w:rsidRPr="00000000" w14:paraId="0000001A">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1B">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Different adolescents come for activities every day  </w:t>
            </w:r>
          </w:p>
          <w:p w:rsidR="00000000" w:rsidDel="00000000" w:rsidP="00000000" w:rsidRDefault="00000000" w:rsidRPr="00000000" w14:paraId="0000001C">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Adolescents who can benefit from activities (particularly the most marginalised) are still being identified with help from the community</w:t>
            </w:r>
          </w:p>
        </w:tc>
        <w:tc>
          <w:tcPr>
            <w:vAlign w:val="top"/>
          </w:tcPr>
          <w:p w:rsidR="00000000" w:rsidDel="00000000" w:rsidP="00000000" w:rsidRDefault="00000000" w:rsidRPr="00000000" w14:paraId="0000001D">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Most adolescents participate in activities on a consistent basis (because they are interested and have been actively targeted for involvement) </w:t>
            </w:r>
          </w:p>
          <w:p w:rsidR="00000000" w:rsidDel="00000000" w:rsidP="00000000" w:rsidRDefault="00000000" w:rsidRPr="00000000" w14:paraId="0000001E">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Some adolescents drop out of activities, and new people join; they are absorbed into activities on an ad hoc basis</w:t>
            </w:r>
          </w:p>
        </w:tc>
        <w:tc>
          <w:tcPr>
            <w:vAlign w:val="top"/>
          </w:tcPr>
          <w:p w:rsidR="00000000" w:rsidDel="00000000" w:rsidP="00000000" w:rsidRDefault="00000000" w:rsidRPr="00000000" w14:paraId="0000001F">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There are strong Circles of adolescents who have worked together over a period of time </w:t>
            </w:r>
          </w:p>
          <w:p w:rsidR="00000000" w:rsidDel="00000000" w:rsidP="00000000" w:rsidRDefault="00000000" w:rsidRPr="00000000" w14:paraId="00000020">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When new adolescents want to join, new sessions are scheduled for them</w:t>
            </w:r>
          </w:p>
        </w:tc>
      </w:tr>
      <w:tr>
        <w:trPr>
          <w:cantSplit w:val="1"/>
          <w:trHeight w:val="1134" w:hRule="atLeast"/>
          <w:tblHeader w:val="0"/>
        </w:trPr>
        <w:tc>
          <w:tcPr>
            <w:vAlign w:val="top"/>
          </w:tcPr>
          <w:p w:rsidR="00000000" w:rsidDel="00000000" w:rsidP="00000000" w:rsidRDefault="00000000" w:rsidRPr="00000000" w14:paraId="00000021">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Space</w:t>
            </w:r>
            <w:r w:rsidDel="00000000" w:rsidR="00000000" w:rsidRPr="00000000">
              <w:rPr>
                <w:rtl w:val="0"/>
              </w:rPr>
            </w:r>
          </w:p>
          <w:p w:rsidR="00000000" w:rsidDel="00000000" w:rsidP="00000000" w:rsidRDefault="00000000" w:rsidRPr="00000000" w14:paraId="00000022">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23">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Activities are held in a temporary space, and/or in different places on different days, because a consistently available space hasn’t been found yet</w:t>
            </w:r>
          </w:p>
        </w:tc>
        <w:tc>
          <w:tcPr>
            <w:vAlign w:val="top"/>
          </w:tcPr>
          <w:p w:rsidR="00000000" w:rsidDel="00000000" w:rsidP="00000000" w:rsidRDefault="00000000" w:rsidRPr="00000000" w14:paraId="00000024">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permanent activity space has been identified</w:t>
            </w:r>
          </w:p>
          <w:p w:rsidR="00000000" w:rsidDel="00000000" w:rsidP="00000000" w:rsidRDefault="00000000" w:rsidRPr="00000000" w14:paraId="00000025">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There is a temporary but stable space (e.g. a child friendly space)</w:t>
            </w:r>
          </w:p>
          <w:p w:rsidR="00000000" w:rsidDel="00000000" w:rsidP="00000000" w:rsidRDefault="00000000" w:rsidRPr="00000000" w14:paraId="00000026">
            <w:pPr>
              <w:spacing w:after="240" w:line="276" w:lineRule="auto"/>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27">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Activities take place in a permanent space or institution, which will continue to be available for the duration of the intervention with the Adolescent Kit</w:t>
            </w:r>
          </w:p>
        </w:tc>
      </w:tr>
      <w:tr>
        <w:trPr>
          <w:cantSplit w:val="1"/>
          <w:trHeight w:val="1134" w:hRule="atLeast"/>
          <w:tblHeader w:val="0"/>
        </w:trPr>
        <w:tc>
          <w:tcPr>
            <w:vAlign w:val="top"/>
          </w:tcPr>
          <w:p w:rsidR="00000000" w:rsidDel="00000000" w:rsidP="00000000" w:rsidRDefault="00000000" w:rsidRPr="00000000" w14:paraId="00000028">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Community stability</w:t>
            </w:r>
            <w:r w:rsidDel="00000000" w:rsidR="00000000" w:rsidRPr="00000000">
              <w:rPr>
                <w:rtl w:val="0"/>
              </w:rPr>
            </w:r>
          </w:p>
          <w:p w:rsidR="00000000" w:rsidDel="00000000" w:rsidP="00000000" w:rsidRDefault="00000000" w:rsidRPr="00000000" w14:paraId="00000029">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2A">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Activities take place in a new or temporary camp or shelter;  adolescents may return home or move to another setting in a few days or weeks</w:t>
            </w:r>
          </w:p>
        </w:tc>
        <w:tc>
          <w:tcPr>
            <w:vAlign w:val="top"/>
          </w:tcPr>
          <w:p w:rsidR="00000000" w:rsidDel="00000000" w:rsidP="00000000" w:rsidRDefault="00000000" w:rsidRPr="00000000" w14:paraId="0000002B">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It is not clear how long adolescents may be here, but it could be for a long time</w:t>
            </w:r>
          </w:p>
          <w:p w:rsidR="00000000" w:rsidDel="00000000" w:rsidP="00000000" w:rsidRDefault="00000000" w:rsidRPr="00000000" w14:paraId="0000002C">
            <w:pPr>
              <w:spacing w:after="240" w:line="276" w:lineRule="auto"/>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2D">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This is a stable or permanent community</w:t>
            </w:r>
          </w:p>
        </w:tc>
      </w:tr>
      <w:tr>
        <w:trPr>
          <w:cantSplit w:val="1"/>
          <w:trHeight w:val="1134" w:hRule="atLeast"/>
          <w:tblHeader w:val="0"/>
        </w:trPr>
        <w:tc>
          <w:tcPr>
            <w:vAlign w:val="top"/>
          </w:tcPr>
          <w:p w:rsidR="00000000" w:rsidDel="00000000" w:rsidP="00000000" w:rsidRDefault="00000000" w:rsidRPr="00000000" w14:paraId="0000002E">
            <w:pPr>
              <w:spacing w:after="240" w:line="276" w:lineRule="auto"/>
              <w:ind w:left="113" w:right="113" w:firstLine="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Long-term goals</w:t>
            </w:r>
            <w:r w:rsidDel="00000000" w:rsidR="00000000" w:rsidRPr="00000000">
              <w:rPr>
                <w:rtl w:val="0"/>
              </w:rPr>
            </w:r>
          </w:p>
        </w:tc>
        <w:tc>
          <w:tcPr>
            <w:vAlign w:val="top"/>
          </w:tcPr>
          <w:p w:rsidR="00000000" w:rsidDel="00000000" w:rsidP="00000000" w:rsidRDefault="00000000" w:rsidRPr="00000000" w14:paraId="0000002F">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Adolescents haven’t had a chance to sit together and discuss long-term goals yet</w:t>
            </w:r>
          </w:p>
          <w:p w:rsidR="00000000" w:rsidDel="00000000" w:rsidP="00000000" w:rsidRDefault="00000000" w:rsidRPr="00000000" w14:paraId="00000030">
            <w:pPr>
              <w:spacing w:after="240" w:line="276" w:lineRule="auto"/>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31">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Adolescents didn’t begin activities with long-term goals in mind; however, working together in Adolescent Circles has provided them with space to set goals, and to involve adults in their community </w:t>
            </w:r>
          </w:p>
        </w:tc>
        <w:tc>
          <w:tcPr>
            <w:vAlign w:val="top"/>
          </w:tcPr>
          <w:p w:rsidR="00000000" w:rsidDel="00000000" w:rsidP="00000000" w:rsidRDefault="00000000" w:rsidRPr="00000000" w14:paraId="00000032">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Adolescents have long-term goals for working together in their Circles, which are supported by the community</w:t>
            </w:r>
          </w:p>
        </w:tc>
      </w:tr>
    </w:tbl>
    <w:p w:rsidR="00000000" w:rsidDel="00000000" w:rsidP="00000000" w:rsidRDefault="00000000" w:rsidRPr="00000000" w14:paraId="00000033">
      <w:pPr>
        <w:spacing w:after="240" w:line="276" w:lineRule="auto"/>
        <w:rPr>
          <w:rFonts w:ascii="Calibri" w:cs="Calibri" w:eastAsia="Calibri" w:hAnsi="Calibri"/>
          <w:i w:val="0"/>
          <w:color w:val="000000"/>
          <w:vertAlign w:val="baseline"/>
        </w:rPr>
      </w:pPr>
      <w:r w:rsidDel="00000000" w:rsidR="00000000" w:rsidRPr="00000000">
        <w:rPr>
          <w:rtl w:val="0"/>
        </w:rPr>
      </w:r>
    </w:p>
    <w:p w:rsidR="00000000" w:rsidDel="00000000" w:rsidP="00000000" w:rsidRDefault="00000000" w:rsidRPr="00000000" w14:paraId="00000034">
      <w:pPr>
        <w:spacing w:after="240" w:line="276" w:lineRule="auto"/>
        <w:rPr>
          <w:rFonts w:ascii="Times New Roman" w:cs="Times New Roman" w:eastAsia="Times New Roman" w:hAnsi="Times New Roman"/>
          <w:i w:val="0"/>
          <w:vertAlign w:val="baseline"/>
        </w:rPr>
      </w:pPr>
      <w:r w:rsidDel="00000000" w:rsidR="00000000" w:rsidRPr="00000000">
        <w:rPr>
          <w:rFonts w:ascii="Calibri" w:cs="Calibri" w:eastAsia="Calibri" w:hAnsi="Calibri"/>
          <w:i w:val="1"/>
          <w:color w:val="000000"/>
          <w:vertAlign w:val="baseline"/>
          <w:rtl w:val="0"/>
        </w:rPr>
        <w:t xml:space="preserve">Remember! Circumstances can change quickly in humanitarian situations. New emergencies become protracted emergencies. Protracted emergencies transition into stable situations, or become emergencies again after some stability.  Make sure to adapt your intervention with the Adolescent Kit in response to these changing circumstances.</w:t>
      </w:r>
      <w:r w:rsidDel="00000000" w:rsidR="00000000" w:rsidRPr="00000000">
        <w:rPr>
          <w:rtl w:val="0"/>
        </w:rPr>
      </w:r>
    </w:p>
    <w:sectPr>
      <w:footerReference r:id="rId6" w:type="default"/>
      <w:footerReference r:id="rId7" w:type="even"/>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